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CA196">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微软雅黑" w:hAnsi="微软雅黑" w:eastAsia="微软雅黑" w:cs="微软雅黑"/>
          <w:b/>
          <w:bCs/>
          <w:kern w:val="0"/>
          <w:sz w:val="36"/>
          <w:szCs w:val="36"/>
          <w:lang w:val="en-US" w:eastAsia="zh-CN" w:bidi="ar"/>
        </w:rPr>
      </w:pPr>
      <w:r>
        <w:rPr>
          <w:rFonts w:hint="eastAsia" w:ascii="微软雅黑" w:hAnsi="微软雅黑" w:eastAsia="微软雅黑" w:cs="微软雅黑"/>
          <w:b/>
          <w:bCs/>
          <w:kern w:val="0"/>
          <w:sz w:val="36"/>
          <w:szCs w:val="36"/>
          <w:lang w:val="en-US" w:eastAsia="zh-CN" w:bidi="ar"/>
        </w:rPr>
        <w:t>企业简介</w:t>
      </w:r>
    </w:p>
    <w:p w14:paraId="6656654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大信会计师事务所（特殊普通合伙）广州分所（下文简称“大信广州分所”）成立于2012年，是大信在华南地区的重要战略布局。大信广州分所依托总部雄厚的专业资源与品牌优势，</w:t>
      </w:r>
      <w:r>
        <w:rPr>
          <w:rFonts w:hint="eastAsia" w:ascii="微软雅黑" w:hAnsi="微软雅黑" w:eastAsia="微软雅黑" w:cs="微软雅黑"/>
          <w:sz w:val="24"/>
          <w:szCs w:val="24"/>
        </w:rPr>
        <w:t>扎根华南，</w:t>
      </w:r>
      <w:r>
        <w:rPr>
          <w:rFonts w:hint="eastAsia" w:ascii="微软雅黑" w:hAnsi="微软雅黑" w:eastAsia="微软雅黑" w:cs="微软雅黑"/>
          <w:kern w:val="0"/>
          <w:sz w:val="24"/>
          <w:szCs w:val="24"/>
          <w:lang w:val="en-US" w:eastAsia="zh-CN" w:bidi="ar"/>
        </w:rPr>
        <w:t>为区域企业提供全方位、高标准、一体化的财税专业服务，助力企业合规经营、稳健发展。</w:t>
      </w:r>
    </w:p>
    <w:p w14:paraId="4C980DDB">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left"/>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大信广州分所组建了一支专业扎实、经验丰富的服务团队，现有3名业务合伙人，带领120余名专业人员，</w:t>
      </w:r>
      <w:r>
        <w:rPr>
          <w:rFonts w:hint="eastAsia" w:ascii="微软雅黑" w:hAnsi="微软雅黑" w:eastAsia="微软雅黑" w:cs="微软雅黑"/>
          <w:kern w:val="0"/>
          <w:sz w:val="24"/>
          <w:szCs w:val="24"/>
          <w:highlight w:val="none"/>
          <w:lang w:val="en-US" w:eastAsia="zh-CN" w:bidi="ar"/>
        </w:rPr>
        <w:t>其中注册会计师、注册税务师、注册评估师超50</w:t>
      </w:r>
      <w:bookmarkStart w:id="0" w:name="_GoBack"/>
      <w:bookmarkEnd w:id="0"/>
      <w:r>
        <w:rPr>
          <w:rFonts w:hint="eastAsia" w:ascii="微软雅黑" w:hAnsi="微软雅黑" w:eastAsia="微软雅黑" w:cs="微软雅黑"/>
          <w:kern w:val="0"/>
          <w:sz w:val="24"/>
          <w:szCs w:val="24"/>
          <w:highlight w:val="none"/>
          <w:lang w:val="en-US" w:eastAsia="zh-CN" w:bidi="ar"/>
        </w:rPr>
        <w:t>人。</w:t>
      </w:r>
      <w:r>
        <w:rPr>
          <w:rFonts w:hint="eastAsia" w:ascii="微软雅黑" w:hAnsi="微软雅黑" w:eastAsia="微软雅黑" w:cs="微软雅黑"/>
          <w:kern w:val="0"/>
          <w:sz w:val="24"/>
          <w:szCs w:val="24"/>
          <w:lang w:val="en-US" w:eastAsia="zh-CN" w:bidi="ar"/>
        </w:rPr>
        <w:t>公司业务覆盖多元领域，构建了传统核心业务与新兴增值业务并行的全链条服务体系，可充分满足企业多样化发展需求。</w:t>
      </w:r>
    </w:p>
    <w:p w14:paraId="05EB91D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kern w:val="0"/>
          <w:sz w:val="24"/>
          <w:szCs w:val="24"/>
          <w:lang w:val="en-US" w:eastAsia="zh-CN" w:bidi="ar"/>
        </w:rPr>
        <w:t>传统业务方面，大信广州分所依托总部证券、期货、H股企业审计等高等级专属资质主营上市公司及大型国有企业财务决算审计、IPO审计、企业所得税汇算清缴、常规审计鉴证及综合税务服务等核心业务，以标准化、规范化的执业标准，助力企业规范财务、合规涉税、筑牢经营根基。同时，积极拓展新兴业务，涵盖管理咨询、管理审计、资产评估等增值服务，可为企提供财务管理优化、资产价值评估、经营提质增效等全方位赋能服务。</w:t>
      </w:r>
    </w:p>
    <w:p w14:paraId="70EACCF3">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left"/>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凭借卓越的执业质量与诚信经营理念，大信广州分所斩获多项荣誉，连续六年获评“守合同重信用”企业，十三年蝉联“诚信自律签约单位”，2024年荣获纳税信用A级、广东省会计师事务所综合评价前百强等称号，</w:t>
      </w:r>
      <w:r>
        <w:rPr>
          <w:rFonts w:hint="eastAsia" w:ascii="微软雅黑" w:hAnsi="微软雅黑" w:eastAsia="微软雅黑" w:cs="微软雅黑"/>
          <w:sz w:val="24"/>
          <w:szCs w:val="24"/>
        </w:rPr>
        <w:t>获得行业与社会的</w:t>
      </w:r>
      <w:r>
        <w:rPr>
          <w:rFonts w:hint="eastAsia" w:ascii="微软雅黑" w:hAnsi="微软雅黑" w:eastAsia="微软雅黑" w:cs="微软雅黑"/>
          <w:kern w:val="0"/>
          <w:sz w:val="24"/>
          <w:szCs w:val="24"/>
          <w:lang w:val="en-US" w:eastAsia="zh-CN" w:bidi="ar"/>
        </w:rPr>
        <w:t>双重认可。</w:t>
      </w:r>
    </w:p>
    <w:p w14:paraId="01B08624">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ind w:firstLine="480" w:firstLineChars="200"/>
        <w:jc w:val="left"/>
        <w:textAlignment w:val="auto"/>
        <w:rPr>
          <w:rFonts w:hint="eastAsia" w:ascii="微软雅黑" w:hAnsi="微软雅黑" w:eastAsia="微软雅黑" w:cs="微软雅黑"/>
          <w:kern w:val="0"/>
          <w:sz w:val="24"/>
          <w:szCs w:val="24"/>
          <w:lang w:val="en-US" w:eastAsia="zh-CN" w:bidi="ar"/>
        </w:rPr>
      </w:pPr>
      <w:r>
        <w:rPr>
          <w:rFonts w:hint="eastAsia" w:ascii="微软雅黑" w:hAnsi="微软雅黑" w:eastAsia="微软雅黑" w:cs="微软雅黑"/>
          <w:kern w:val="0"/>
          <w:sz w:val="24"/>
          <w:szCs w:val="24"/>
          <w:lang w:val="en-US" w:eastAsia="zh-CN" w:bidi="ar"/>
        </w:rPr>
        <w:t>未来，大信广州分所将持续深耕华南市场，持续精进专业服务、拓宽服务边界，赋能企业高质量发展。依托加入广州市纳税人协会的契机，大信广州分所将积极履行会员义务，主动参与协会各项活动，发挥财税审计专业优势，搭建优质税企沟通桥梁，践行诚信纳税理念，携手各会员单位共建良好税收营商环境，为广州税收事业与区域经济发展贡献专业力量。</w:t>
      </w:r>
    </w:p>
    <w:p w14:paraId="6C85B598">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微软雅黑" w:hAnsi="微软雅黑" w:eastAsia="微软雅黑" w:cs="微软雅黑"/>
          <w:b/>
          <w:bCs/>
          <w:kern w:val="0"/>
          <w:sz w:val="36"/>
          <w:szCs w:val="36"/>
          <w:lang w:val="en-US" w:eastAsia="zh-CN" w:bidi="ar"/>
        </w:rPr>
      </w:pPr>
      <w:r>
        <w:rPr>
          <w:rFonts w:hint="eastAsia" w:ascii="微软雅黑" w:hAnsi="微软雅黑" w:eastAsia="微软雅黑" w:cs="微软雅黑"/>
          <w:b/>
          <w:bCs/>
          <w:kern w:val="0"/>
          <w:sz w:val="36"/>
          <w:szCs w:val="36"/>
          <w:lang w:val="en-US" w:eastAsia="zh-CN" w:bidi="ar"/>
        </w:rPr>
        <w:t>企业宣传照片</w:t>
      </w:r>
    </w:p>
    <w:p w14:paraId="027CE258">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微软雅黑" w:hAnsi="微软雅黑" w:eastAsia="微软雅黑" w:cs="微软雅黑"/>
          <w:b/>
          <w:bCs/>
          <w:kern w:val="0"/>
          <w:sz w:val="36"/>
          <w:szCs w:val="36"/>
          <w:lang w:val="en-US" w:eastAsia="zh-CN" w:bidi="ar"/>
        </w:rPr>
      </w:pPr>
      <w:r>
        <w:rPr>
          <w:rFonts w:hint="eastAsia" w:ascii="微软雅黑" w:hAnsi="微软雅黑" w:eastAsia="微软雅黑" w:cs="微软雅黑"/>
          <w:b/>
          <w:bCs/>
          <w:kern w:val="0"/>
          <w:sz w:val="36"/>
          <w:szCs w:val="36"/>
          <w:lang w:val="en-US" w:eastAsia="zh-CN" w:bidi="ar"/>
        </w:rPr>
        <w:drawing>
          <wp:inline distT="0" distB="0" distL="114300" distR="114300">
            <wp:extent cx="5280025" cy="3959860"/>
            <wp:effectExtent l="0" t="0" r="15875" b="2540"/>
            <wp:docPr id="2" name="图片 2" descr="前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前台 (2)"/>
                    <pic:cNvPicPr>
                      <a:picLocks noChangeAspect="1"/>
                    </pic:cNvPicPr>
                  </pic:nvPicPr>
                  <pic:blipFill>
                    <a:blip r:embed="rId4"/>
                    <a:stretch>
                      <a:fillRect/>
                    </a:stretch>
                  </pic:blipFill>
                  <pic:spPr>
                    <a:xfrm>
                      <a:off x="0" y="0"/>
                      <a:ext cx="5280025" cy="3959860"/>
                    </a:xfrm>
                    <a:prstGeom prst="rect">
                      <a:avLst/>
                    </a:prstGeom>
                  </pic:spPr>
                </pic:pic>
              </a:graphicData>
            </a:graphic>
          </wp:inline>
        </w:drawing>
      </w:r>
    </w:p>
    <w:p w14:paraId="2450C53C">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微软雅黑" w:hAnsi="微软雅黑" w:eastAsia="微软雅黑" w:cs="微软雅黑"/>
          <w:b/>
          <w:bCs/>
          <w:kern w:val="0"/>
          <w:sz w:val="36"/>
          <w:szCs w:val="36"/>
          <w:lang w:val="en-US" w:eastAsia="zh-CN" w:bidi="ar"/>
        </w:rPr>
      </w:pPr>
      <w:r>
        <w:rPr>
          <w:rFonts w:hint="eastAsia" w:ascii="微软雅黑" w:hAnsi="微软雅黑" w:eastAsia="微软雅黑" w:cs="微软雅黑"/>
          <w:b/>
          <w:bCs/>
          <w:kern w:val="0"/>
          <w:sz w:val="36"/>
          <w:szCs w:val="36"/>
          <w:lang w:val="en-US" w:eastAsia="zh-CN" w:bidi="ar"/>
        </w:rPr>
        <w:drawing>
          <wp:inline distT="0" distB="0" distL="114300" distR="114300">
            <wp:extent cx="5280025" cy="3959860"/>
            <wp:effectExtent l="0" t="0" r="15875" b="2540"/>
            <wp:docPr id="1" name="图片 1" descr="6ef7bf19-f5f3-413a-b015-0dfb04ae5d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ef7bf19-f5f3-413a-b015-0dfb04ae5de8"/>
                    <pic:cNvPicPr>
                      <a:picLocks noChangeAspect="1"/>
                    </pic:cNvPicPr>
                  </pic:nvPicPr>
                  <pic:blipFill>
                    <a:blip r:embed="rId5"/>
                    <a:stretch>
                      <a:fillRect/>
                    </a:stretch>
                  </pic:blipFill>
                  <pic:spPr>
                    <a:xfrm>
                      <a:off x="0" y="0"/>
                      <a:ext cx="5280025" cy="3959860"/>
                    </a:xfrm>
                    <a:prstGeom prst="rect">
                      <a:avLst/>
                    </a:prstGeom>
                  </pic:spPr>
                </pic:pic>
              </a:graphicData>
            </a:graphic>
          </wp:inline>
        </w:drawing>
      </w:r>
    </w:p>
    <w:p w14:paraId="56A58A0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微软雅黑" w:hAnsi="微软雅黑" w:eastAsia="微软雅黑" w:cs="微软雅黑"/>
          <w:b/>
          <w:bCs/>
          <w:kern w:val="0"/>
          <w:sz w:val="36"/>
          <w:szCs w:val="36"/>
          <w:lang w:val="en-US" w:eastAsia="zh-CN" w:bidi="ar"/>
        </w:rPr>
      </w:pPr>
      <w:r>
        <w:rPr>
          <w:rFonts w:hint="eastAsia" w:ascii="微软雅黑" w:hAnsi="微软雅黑" w:eastAsia="微软雅黑" w:cs="微软雅黑"/>
          <w:b/>
          <w:bCs/>
          <w:kern w:val="0"/>
          <w:sz w:val="36"/>
          <w:szCs w:val="36"/>
          <w:lang w:val="en-US" w:eastAsia="zh-CN" w:bidi="ar"/>
        </w:rPr>
        <w:drawing>
          <wp:inline distT="0" distB="0" distL="114300" distR="114300">
            <wp:extent cx="5280025" cy="3959860"/>
            <wp:effectExtent l="0" t="0" r="15875" b="2540"/>
            <wp:docPr id="3" name="图片 3" descr="会议室江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会议室江景"/>
                    <pic:cNvPicPr>
                      <a:picLocks noChangeAspect="1"/>
                    </pic:cNvPicPr>
                  </pic:nvPicPr>
                  <pic:blipFill>
                    <a:blip r:embed="rId6"/>
                    <a:stretch>
                      <a:fillRect/>
                    </a:stretch>
                  </pic:blipFill>
                  <pic:spPr>
                    <a:xfrm>
                      <a:off x="0" y="0"/>
                      <a:ext cx="5280025" cy="3959860"/>
                    </a:xfrm>
                    <a:prstGeom prst="rect">
                      <a:avLst/>
                    </a:prstGeom>
                  </pic:spPr>
                </pic:pic>
              </a:graphicData>
            </a:graphic>
          </wp:inline>
        </w:drawing>
      </w:r>
    </w:p>
    <w:p w14:paraId="55F6CE9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微软雅黑" w:hAnsi="微软雅黑" w:eastAsia="微软雅黑" w:cs="微软雅黑"/>
          <w:b/>
          <w:bCs/>
          <w:kern w:val="0"/>
          <w:sz w:val="36"/>
          <w:szCs w:val="36"/>
          <w:lang w:val="en-US" w:eastAsia="zh-CN" w:bidi="ar"/>
        </w:rPr>
      </w:pPr>
      <w:r>
        <w:rPr>
          <w:rFonts w:hint="eastAsia" w:ascii="微软雅黑" w:hAnsi="微软雅黑" w:eastAsia="微软雅黑" w:cs="微软雅黑"/>
          <w:b/>
          <w:bCs/>
          <w:kern w:val="0"/>
          <w:sz w:val="36"/>
          <w:szCs w:val="36"/>
          <w:lang w:val="en-US" w:eastAsia="zh-CN" w:bidi="ar"/>
        </w:rPr>
        <w:drawing>
          <wp:inline distT="0" distB="0" distL="114300" distR="114300">
            <wp:extent cx="5280025" cy="3959860"/>
            <wp:effectExtent l="0" t="0" r="15875" b="2540"/>
            <wp:docPr id="4" name="图片 4" descr="前台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前台坐"/>
                    <pic:cNvPicPr>
                      <a:picLocks noChangeAspect="1"/>
                    </pic:cNvPicPr>
                  </pic:nvPicPr>
                  <pic:blipFill>
                    <a:blip r:embed="rId7"/>
                    <a:stretch>
                      <a:fillRect/>
                    </a:stretch>
                  </pic:blipFill>
                  <pic:spPr>
                    <a:xfrm>
                      <a:off x="0" y="0"/>
                      <a:ext cx="5280025" cy="3959860"/>
                    </a:xfrm>
                    <a:prstGeom prst="rect">
                      <a:avLst/>
                    </a:prstGeom>
                  </pic:spPr>
                </pic:pic>
              </a:graphicData>
            </a:graphic>
          </wp:inline>
        </w:drawing>
      </w:r>
    </w:p>
    <w:p w14:paraId="6631B63D">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360" w:lineRule="auto"/>
        <w:jc w:val="center"/>
        <w:textAlignment w:val="auto"/>
        <w:rPr>
          <w:rFonts w:hint="eastAsia" w:ascii="微软雅黑" w:hAnsi="微软雅黑" w:eastAsia="微软雅黑" w:cs="微软雅黑"/>
          <w:b/>
          <w:bCs/>
          <w:kern w:val="0"/>
          <w:sz w:val="36"/>
          <w:szCs w:val="36"/>
          <w:lang w:val="en-US" w:eastAsia="zh-CN" w:bidi="ar"/>
        </w:rPr>
      </w:pPr>
    </w:p>
    <w:p w14:paraId="676ACB1C">
      <w:pPr>
        <w:keepNext w:val="0"/>
        <w:keepLines w:val="0"/>
        <w:pageBreakBefore w:val="0"/>
        <w:kinsoku/>
        <w:wordWrap/>
        <w:overflowPunct/>
        <w:topLinePunct w:val="0"/>
        <w:autoSpaceDE/>
        <w:autoSpaceDN/>
        <w:bidi w:val="0"/>
        <w:adjustRightInd/>
        <w:snapToGrid/>
        <w:spacing w:before="157" w:beforeLines="50" w:after="157" w:afterLines="50" w:line="360" w:lineRule="auto"/>
        <w:textAlignment w:val="auto"/>
        <w:rPr>
          <w:rFonts w:hint="eastAsia" w:ascii="微软雅黑" w:hAnsi="微软雅黑" w:eastAsia="微软雅黑" w:cs="微软雅黑"/>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176421"/>
    <w:rsid w:val="00D42B17"/>
    <w:rsid w:val="00F82039"/>
    <w:rsid w:val="02D2752A"/>
    <w:rsid w:val="05E530D0"/>
    <w:rsid w:val="09F91840"/>
    <w:rsid w:val="0B7C6285"/>
    <w:rsid w:val="0C295551"/>
    <w:rsid w:val="0FB104C7"/>
    <w:rsid w:val="149F6BBD"/>
    <w:rsid w:val="17852965"/>
    <w:rsid w:val="1D750D86"/>
    <w:rsid w:val="26B85296"/>
    <w:rsid w:val="278E0648"/>
    <w:rsid w:val="2D3B63E2"/>
    <w:rsid w:val="2D6F134E"/>
    <w:rsid w:val="329B3A16"/>
    <w:rsid w:val="3A676BB4"/>
    <w:rsid w:val="3AA840F1"/>
    <w:rsid w:val="3D05582A"/>
    <w:rsid w:val="403A3A3D"/>
    <w:rsid w:val="46F549B4"/>
    <w:rsid w:val="47E30C3F"/>
    <w:rsid w:val="50A55C3C"/>
    <w:rsid w:val="542849BA"/>
    <w:rsid w:val="550541C2"/>
    <w:rsid w:val="5C62639E"/>
    <w:rsid w:val="6025396A"/>
    <w:rsid w:val="647762BA"/>
    <w:rsid w:val="70E62CA2"/>
    <w:rsid w:val="74F344EC"/>
    <w:rsid w:val="75176421"/>
    <w:rsid w:val="759A405B"/>
    <w:rsid w:val="794B7D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714</Words>
  <Characters>725</Characters>
  <Lines>0</Lines>
  <Paragraphs>0</Paragraphs>
  <TotalTime>126</TotalTime>
  <ScaleCrop>false</ScaleCrop>
  <LinksUpToDate>false</LinksUpToDate>
  <CharactersWithSpaces>725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2026-07-21T07:43:00Z</dcterms:created>
  <dc:creator>Law</dc:creator>
  <cp:lastModifiedBy>Law</cp:lastModifiedBy>
  <dcterms:modified xsi:type="dcterms:W3CDTF">2026-07-24T07:56:17Z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C70985304CDA47ACB797DC6D9880CFBD_13</vt:lpwstr>
  </property>
  <property fmtid="{D5CDD505-2E9C-101B-9397-08002B2CF9AE}" pid="4" name="KSOTemplateDocerSaveRecord">
    <vt:lpwstr>eyJoZGlkIjoiYjNhMDIzM2RjMzQ1NmJjZWFkOWZlMDE5NzQwN2QxNGMiLCJ1c2VySWQiOiIyMTgwMzMyODUifQ==</vt:lpwstr>
  </property>
</Properties>
</file>